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C1B0"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Под конфликтом интересов в статье 10 Федерального закона от 25.12.2008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3A544F1"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2652C0BF"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Обязанность принимать меры по предотвращению и урегулированию конфликта интересов возлагается:</w:t>
      </w:r>
    </w:p>
    <w:p w14:paraId="4FB92824"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1) на государственных и муниципальных служащих;</w:t>
      </w:r>
    </w:p>
    <w:p w14:paraId="0D45D53B"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14:paraId="4B11FE57"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C573B81"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4) на иные категории лиц в случаях, предусмотренных федеральными законами.</w:t>
      </w:r>
    </w:p>
    <w:p w14:paraId="09928CEC" w14:textId="77777777" w:rsidR="005B2C1F" w:rsidRPr="005B2C1F" w:rsidRDefault="005B2C1F" w:rsidP="005B2C1F">
      <w:pPr>
        <w:pStyle w:val="a3"/>
        <w:shd w:val="clear" w:color="auto" w:fill="FFFFFF"/>
        <w:spacing w:before="0" w:beforeAutospacing="0"/>
        <w:ind w:firstLine="709"/>
        <w:jc w:val="both"/>
        <w:rPr>
          <w:color w:val="333333"/>
          <w:sz w:val="28"/>
          <w:szCs w:val="28"/>
        </w:rPr>
      </w:pPr>
      <w:r w:rsidRPr="005B2C1F">
        <w:rPr>
          <w:color w:val="333333"/>
          <w:sz w:val="28"/>
          <w:szCs w:val="28"/>
        </w:rPr>
        <w:t>В соответствии с частью 6 статьи 11 указанного закона непринятие мер по предотвращению или урегулированию конфликта интересов является правонарушением, влекущим увольнение.</w:t>
      </w:r>
    </w:p>
    <w:p w14:paraId="1EA250EC" w14:textId="77777777" w:rsidR="008C7733" w:rsidRDefault="008C7733"/>
    <w:sectPr w:rsidR="008C7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8D"/>
    <w:rsid w:val="0006358D"/>
    <w:rsid w:val="005B2C1F"/>
    <w:rsid w:val="008C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F2FEF-306F-417F-AC45-758709C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C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Khatuntsev</dc:creator>
  <cp:keywords/>
  <dc:description/>
  <cp:lastModifiedBy>Maxim Khatuntsev</cp:lastModifiedBy>
  <cp:revision>3</cp:revision>
  <dcterms:created xsi:type="dcterms:W3CDTF">2022-05-31T06:55:00Z</dcterms:created>
  <dcterms:modified xsi:type="dcterms:W3CDTF">2022-05-31T06:56:00Z</dcterms:modified>
</cp:coreProperties>
</file>