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5FEEA" w14:textId="77777777" w:rsidR="00F020E7" w:rsidRDefault="00F020E7" w:rsidP="00F020E7">
      <w:pPr>
        <w:pStyle w:val="ConsPlusNormal"/>
        <w:ind w:left="2844"/>
        <w:jc w:val="right"/>
        <w:outlineLvl w:val="1"/>
        <w:rPr>
          <w:rFonts w:ascii="Times New Roman" w:hAnsi="Times New Roman" w:cs="Times New Roman"/>
          <w:sz w:val="24"/>
          <w:szCs w:val="24"/>
        </w:rPr>
      </w:pPr>
      <w:proofErr w:type="gramStart"/>
      <w:r w:rsidRPr="00FB1C14">
        <w:rPr>
          <w:rFonts w:ascii="Times New Roman" w:hAnsi="Times New Roman" w:cs="Times New Roman"/>
          <w:sz w:val="24"/>
          <w:szCs w:val="24"/>
        </w:rPr>
        <w:t>Утверждена</w:t>
      </w:r>
      <w:proofErr w:type="gramEnd"/>
      <w:r>
        <w:rPr>
          <w:rFonts w:ascii="Times New Roman" w:hAnsi="Times New Roman" w:cs="Times New Roman"/>
          <w:sz w:val="24"/>
          <w:szCs w:val="24"/>
        </w:rPr>
        <w:t xml:space="preserve"> распоряжением </w:t>
      </w:r>
    </w:p>
    <w:p w14:paraId="43715364" w14:textId="77777777" w:rsidR="00F020E7" w:rsidRDefault="00F020E7" w:rsidP="00F020E7">
      <w:pPr>
        <w:pStyle w:val="ConsPlusNormal"/>
        <w:ind w:left="2844"/>
        <w:jc w:val="right"/>
        <w:outlineLvl w:val="1"/>
        <w:rPr>
          <w:rFonts w:ascii="Times New Roman" w:hAnsi="Times New Roman" w:cs="Times New Roman"/>
          <w:sz w:val="24"/>
          <w:szCs w:val="24"/>
        </w:rPr>
      </w:pPr>
      <w:r>
        <w:rPr>
          <w:rFonts w:ascii="Times New Roman" w:hAnsi="Times New Roman" w:cs="Times New Roman"/>
          <w:sz w:val="24"/>
          <w:szCs w:val="24"/>
        </w:rPr>
        <w:t xml:space="preserve">аппарата Совета депутатов </w:t>
      </w:r>
    </w:p>
    <w:p w14:paraId="6D98EAE2" w14:textId="77777777" w:rsidR="00F020E7" w:rsidRDefault="00F020E7" w:rsidP="00F020E7">
      <w:pPr>
        <w:pStyle w:val="ConsPlusNormal"/>
        <w:ind w:left="2844"/>
        <w:jc w:val="right"/>
        <w:outlineLvl w:val="1"/>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Лианозово </w:t>
      </w:r>
    </w:p>
    <w:p w14:paraId="1E77CBDA" w14:textId="248A7719" w:rsidR="00F020E7" w:rsidRDefault="00F020E7" w:rsidP="00F020E7">
      <w:pPr>
        <w:jc w:val="right"/>
      </w:pPr>
      <w:r>
        <w:t xml:space="preserve">от </w:t>
      </w:r>
      <w:r w:rsidRPr="008803D7">
        <w:t>2</w:t>
      </w:r>
      <w:r>
        <w:t>2</w:t>
      </w:r>
      <w:r w:rsidRPr="008803D7">
        <w:t>.</w:t>
      </w:r>
      <w:r>
        <w:t>12</w:t>
      </w:r>
      <w:r w:rsidRPr="008803D7">
        <w:t xml:space="preserve">.2023 № </w:t>
      </w:r>
      <w:r>
        <w:t>45</w:t>
      </w:r>
    </w:p>
    <w:p w14:paraId="74D42576" w14:textId="77777777" w:rsidR="00F020E7" w:rsidRDefault="00F020E7" w:rsidP="00F020E7">
      <w:pPr>
        <w:pStyle w:val="ConsPlusNormal"/>
        <w:jc w:val="center"/>
        <w:outlineLvl w:val="1"/>
        <w:rPr>
          <w:rFonts w:ascii="Times New Roman" w:hAnsi="Times New Roman" w:cs="Times New Roman"/>
          <w:b/>
          <w:bCs/>
          <w:sz w:val="28"/>
          <w:szCs w:val="28"/>
        </w:rPr>
      </w:pPr>
    </w:p>
    <w:p w14:paraId="09AE13B6" w14:textId="77777777" w:rsidR="00F020E7" w:rsidRPr="00F83A5A" w:rsidRDefault="00F020E7" w:rsidP="00F020E7">
      <w:pPr>
        <w:widowControl w:val="0"/>
        <w:autoSpaceDE w:val="0"/>
        <w:autoSpaceDN w:val="0"/>
        <w:jc w:val="center"/>
        <w:rPr>
          <w:b/>
          <w:sz w:val="28"/>
          <w:szCs w:val="28"/>
        </w:rPr>
      </w:pPr>
      <w:bookmarkStart w:id="0" w:name="P61"/>
      <w:bookmarkEnd w:id="0"/>
      <w:r w:rsidRPr="00F83A5A">
        <w:rPr>
          <w:b/>
          <w:sz w:val="28"/>
          <w:szCs w:val="28"/>
        </w:rPr>
        <w:t>Учетная политика</w:t>
      </w:r>
    </w:p>
    <w:p w14:paraId="7636D9B2" w14:textId="77777777" w:rsidR="00F020E7" w:rsidRPr="00F83A5A" w:rsidRDefault="00F020E7" w:rsidP="00F020E7">
      <w:pPr>
        <w:widowControl w:val="0"/>
        <w:autoSpaceDE w:val="0"/>
        <w:autoSpaceDN w:val="0"/>
        <w:jc w:val="center"/>
        <w:rPr>
          <w:b/>
          <w:sz w:val="28"/>
          <w:szCs w:val="28"/>
        </w:rPr>
      </w:pPr>
      <w:r w:rsidRPr="00F83A5A">
        <w:rPr>
          <w:b/>
          <w:sz w:val="28"/>
          <w:szCs w:val="28"/>
        </w:rPr>
        <w:t xml:space="preserve">аппарата Совета депутатов муниципального округа Лианозово </w:t>
      </w:r>
    </w:p>
    <w:p w14:paraId="314A84CA" w14:textId="77777777" w:rsidR="00F020E7" w:rsidRPr="00F83A5A" w:rsidRDefault="00F020E7" w:rsidP="00F020E7">
      <w:pPr>
        <w:widowControl w:val="0"/>
        <w:autoSpaceDE w:val="0"/>
        <w:autoSpaceDN w:val="0"/>
        <w:jc w:val="center"/>
        <w:rPr>
          <w:b/>
          <w:sz w:val="28"/>
          <w:szCs w:val="28"/>
        </w:rPr>
      </w:pPr>
      <w:r w:rsidRPr="00F83A5A">
        <w:rPr>
          <w:b/>
          <w:sz w:val="28"/>
          <w:szCs w:val="28"/>
        </w:rPr>
        <w:t>для целей бухгалтерского (бюджетного) учета</w:t>
      </w:r>
    </w:p>
    <w:p w14:paraId="12D50E6E" w14:textId="77777777" w:rsidR="00F020E7" w:rsidRPr="00F83A5A" w:rsidRDefault="00F020E7" w:rsidP="00F020E7">
      <w:pPr>
        <w:jc w:val="center"/>
        <w:rPr>
          <w:bCs/>
          <w:iCs/>
          <w:sz w:val="28"/>
          <w:szCs w:val="28"/>
        </w:rPr>
      </w:pPr>
      <w:r w:rsidRPr="00F83A5A">
        <w:rPr>
          <w:bCs/>
          <w:iCs/>
          <w:sz w:val="28"/>
          <w:szCs w:val="28"/>
        </w:rPr>
        <w:t>(основные положения)</w:t>
      </w:r>
    </w:p>
    <w:p w14:paraId="67A65197" w14:textId="77777777" w:rsidR="00365397" w:rsidRDefault="00365397" w:rsidP="00365397">
      <w:pPr>
        <w:pStyle w:val="ConsPlusNormal"/>
        <w:jc w:val="center"/>
        <w:outlineLvl w:val="1"/>
        <w:rPr>
          <w:rFonts w:ascii="Times New Roman" w:hAnsi="Times New Roman" w:cs="Times New Roman"/>
          <w:b/>
          <w:bCs/>
          <w:sz w:val="24"/>
          <w:szCs w:val="24"/>
        </w:rPr>
      </w:pPr>
    </w:p>
    <w:p w14:paraId="7294F3AE" w14:textId="77777777" w:rsidR="00365397" w:rsidRPr="00365397" w:rsidRDefault="00365397" w:rsidP="00365397">
      <w:pPr>
        <w:pStyle w:val="ConsPlusNormal"/>
        <w:jc w:val="center"/>
        <w:outlineLvl w:val="1"/>
        <w:rPr>
          <w:rFonts w:ascii="Times New Roman" w:hAnsi="Times New Roman" w:cs="Times New Roman"/>
          <w:b/>
          <w:bCs/>
          <w:sz w:val="28"/>
          <w:szCs w:val="28"/>
        </w:rPr>
      </w:pPr>
      <w:r w:rsidRPr="00365397">
        <w:rPr>
          <w:rFonts w:ascii="Times New Roman" w:hAnsi="Times New Roman" w:cs="Times New Roman"/>
          <w:b/>
          <w:bCs/>
          <w:sz w:val="28"/>
          <w:szCs w:val="28"/>
          <w:lang w:val="en-US"/>
        </w:rPr>
        <w:t>I</w:t>
      </w:r>
      <w:r w:rsidRPr="00365397">
        <w:rPr>
          <w:rFonts w:ascii="Times New Roman" w:hAnsi="Times New Roman" w:cs="Times New Roman"/>
          <w:b/>
          <w:bCs/>
          <w:sz w:val="28"/>
          <w:szCs w:val="28"/>
        </w:rPr>
        <w:t>. Общие положения</w:t>
      </w:r>
    </w:p>
    <w:p w14:paraId="575554A5" w14:textId="77777777" w:rsidR="00365397" w:rsidRPr="00365397" w:rsidRDefault="00365397" w:rsidP="00365397">
      <w:pPr>
        <w:pStyle w:val="ConsPlusNormal"/>
        <w:ind w:left="-709" w:firstLine="709"/>
        <w:outlineLvl w:val="1"/>
        <w:rPr>
          <w:rFonts w:ascii="Times New Roman" w:hAnsi="Times New Roman" w:cs="Times New Roman"/>
          <w:b/>
          <w:bCs/>
          <w:sz w:val="28"/>
          <w:szCs w:val="28"/>
        </w:rPr>
      </w:pPr>
    </w:p>
    <w:p w14:paraId="7F9D1049" w14:textId="77777777" w:rsidR="00365397" w:rsidRPr="00365397" w:rsidRDefault="00365397" w:rsidP="00365397">
      <w:pPr>
        <w:pStyle w:val="formattext"/>
        <w:spacing w:before="0" w:beforeAutospacing="0" w:after="0" w:afterAutospacing="0"/>
        <w:ind w:firstLine="482"/>
        <w:jc w:val="both"/>
        <w:rPr>
          <w:sz w:val="28"/>
          <w:szCs w:val="28"/>
        </w:rPr>
      </w:pPr>
      <w:r w:rsidRPr="00365397">
        <w:rPr>
          <w:sz w:val="28"/>
          <w:szCs w:val="28"/>
        </w:rPr>
        <w:t xml:space="preserve">1. Актами субъекта учета, устанавливающими в целях организации и ведения бухгалтерского учета учетную политику аппарата СД МО Лианозово (далее - документы учетной политики), утверждаются: </w:t>
      </w:r>
    </w:p>
    <w:p w14:paraId="4786B243" w14:textId="77777777" w:rsidR="00365397" w:rsidRPr="00365397" w:rsidRDefault="00365397" w:rsidP="00365397">
      <w:pPr>
        <w:pStyle w:val="formattext"/>
        <w:spacing w:before="0" w:beforeAutospacing="0" w:after="0" w:afterAutospacing="0"/>
        <w:ind w:firstLine="482"/>
        <w:jc w:val="both"/>
        <w:rPr>
          <w:sz w:val="28"/>
          <w:szCs w:val="28"/>
        </w:rPr>
      </w:pPr>
      <w:bookmarkStart w:id="1" w:name="P0088"/>
      <w:bookmarkEnd w:id="1"/>
      <w:r w:rsidRPr="00365397">
        <w:rPr>
          <w:sz w:val="28"/>
          <w:szCs w:val="28"/>
        </w:rPr>
        <w:t xml:space="preserve">а)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бухгалтерской (финансовой) отчетности в соответствии с нормативными правовыми актами, регулирующими ведение бухгалтерского учета и составление бухгалтерской (финансовой) отчетности; </w:t>
      </w:r>
    </w:p>
    <w:p w14:paraId="157183FE" w14:textId="77777777" w:rsidR="00365397" w:rsidRPr="00365397" w:rsidRDefault="00365397" w:rsidP="00365397">
      <w:pPr>
        <w:pStyle w:val="formattext"/>
        <w:spacing w:before="0" w:beforeAutospacing="0" w:after="0" w:afterAutospacing="0"/>
        <w:ind w:firstLine="482"/>
        <w:jc w:val="both"/>
        <w:rPr>
          <w:sz w:val="28"/>
          <w:szCs w:val="28"/>
        </w:rPr>
      </w:pPr>
      <w:bookmarkStart w:id="2" w:name="P008B"/>
      <w:bookmarkEnd w:id="2"/>
      <w:r w:rsidRPr="00365397">
        <w:rPr>
          <w:sz w:val="28"/>
          <w:szCs w:val="28"/>
        </w:rPr>
        <w:t xml:space="preserve">б) рабочий план счетов бухгалтерского учета, содержащий применяемые счета бухгалтерского учета для ведения синтетического и аналитического учета (номера счетов бухгалтерского учета) либо коды счетов бухгалтерского учета и правила формирования номера счета бухгалтерского учета; </w:t>
      </w:r>
    </w:p>
    <w:p w14:paraId="3EE15DF9" w14:textId="77777777" w:rsidR="00365397" w:rsidRPr="00365397" w:rsidRDefault="00365397" w:rsidP="00365397">
      <w:pPr>
        <w:pStyle w:val="formattext"/>
        <w:spacing w:before="0" w:beforeAutospacing="0" w:after="0" w:afterAutospacing="0"/>
        <w:ind w:firstLine="482"/>
        <w:jc w:val="both"/>
        <w:rPr>
          <w:sz w:val="28"/>
          <w:szCs w:val="28"/>
        </w:rPr>
      </w:pPr>
      <w:bookmarkStart w:id="3" w:name="P008E"/>
      <w:bookmarkEnd w:id="3"/>
      <w:r w:rsidRPr="00365397">
        <w:rPr>
          <w:sz w:val="28"/>
          <w:szCs w:val="28"/>
        </w:rPr>
        <w:t xml:space="preserve">в) порядок проведения инвентаризации активов, имущества, учитываемого на </w:t>
      </w:r>
      <w:proofErr w:type="spellStart"/>
      <w:r w:rsidRPr="00365397">
        <w:rPr>
          <w:sz w:val="28"/>
          <w:szCs w:val="28"/>
        </w:rPr>
        <w:t>забалансовых</w:t>
      </w:r>
      <w:proofErr w:type="spellEnd"/>
      <w:r w:rsidRPr="00365397">
        <w:rPr>
          <w:sz w:val="28"/>
          <w:szCs w:val="28"/>
        </w:rPr>
        <w:t xml:space="preserve"> счетах, обязательств, иных объектов бухгалтерского учета; </w:t>
      </w:r>
    </w:p>
    <w:p w14:paraId="66DEE3DC" w14:textId="77777777" w:rsidR="00365397" w:rsidRPr="00365397" w:rsidRDefault="00365397" w:rsidP="00365397">
      <w:pPr>
        <w:pStyle w:val="formattext"/>
        <w:spacing w:before="0" w:beforeAutospacing="0" w:after="0" w:afterAutospacing="0"/>
        <w:ind w:firstLine="482"/>
        <w:jc w:val="both"/>
        <w:rPr>
          <w:sz w:val="28"/>
          <w:szCs w:val="28"/>
        </w:rPr>
      </w:pPr>
      <w:bookmarkStart w:id="4" w:name="P0091"/>
      <w:bookmarkEnd w:id="4"/>
      <w:r w:rsidRPr="00365397">
        <w:rPr>
          <w:sz w:val="28"/>
          <w:szCs w:val="28"/>
        </w:rPr>
        <w:t xml:space="preserve">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законодательством Российской Федерации не предусмотрены обязательные для их оформления формы документов. Утвержденные субъектом учета формы документов бухгалтерского учета должны содержать обязательные реквизиты и соответствовать требованиям, предусмотренным </w:t>
      </w:r>
      <w:hyperlink r:id="rId5" w:history="1">
        <w:r w:rsidRPr="00365397">
          <w:rPr>
            <w:rStyle w:val="ab"/>
            <w:sz w:val="28"/>
            <w:szCs w:val="28"/>
          </w:rPr>
          <w:t>Стандартом «Концептуальные основы</w:t>
        </w:r>
      </w:hyperlink>
      <w:r w:rsidRPr="00365397">
        <w:rPr>
          <w:sz w:val="28"/>
          <w:szCs w:val="28"/>
        </w:rPr>
        <w:t xml:space="preserve">»; </w:t>
      </w:r>
    </w:p>
    <w:p w14:paraId="0FD856ED" w14:textId="77777777" w:rsidR="00365397" w:rsidRPr="00365397" w:rsidRDefault="00365397" w:rsidP="00365397">
      <w:pPr>
        <w:pStyle w:val="formattext"/>
        <w:spacing w:before="0" w:beforeAutospacing="0" w:after="0" w:afterAutospacing="0"/>
        <w:ind w:firstLine="482"/>
        <w:jc w:val="both"/>
        <w:rPr>
          <w:sz w:val="28"/>
          <w:szCs w:val="28"/>
        </w:rPr>
      </w:pPr>
      <w:bookmarkStart w:id="5" w:name="P0094"/>
      <w:bookmarkEnd w:id="5"/>
      <w:proofErr w:type="gramStart"/>
      <w:r w:rsidRPr="00365397">
        <w:rPr>
          <w:sz w:val="28"/>
          <w:szCs w:val="28"/>
        </w:rPr>
        <w:t xml:space="preserve">д) правила документооборота и технология обработки учетной информации, в том числе порядок и сроки передачи первичных (сводных) учетных документов для отражения в бухгалтерском учете в соответствии с утвержденным графиком документооборота и (или) порядком взаимодействия структурных подразделений и (или) лиц, ответственных за оформление фактов хозяйственной жизни, по предоставлению первичных учетных документов для ведения бухгалтерского учета; </w:t>
      </w:r>
      <w:proofErr w:type="gramEnd"/>
    </w:p>
    <w:p w14:paraId="798B7A11" w14:textId="77777777" w:rsidR="00365397" w:rsidRPr="00365397" w:rsidRDefault="00365397" w:rsidP="00365397">
      <w:pPr>
        <w:pStyle w:val="formattext"/>
        <w:spacing w:before="0" w:beforeAutospacing="0" w:after="0" w:afterAutospacing="0"/>
        <w:ind w:firstLine="482"/>
        <w:jc w:val="both"/>
        <w:rPr>
          <w:sz w:val="28"/>
          <w:szCs w:val="28"/>
        </w:rPr>
      </w:pPr>
      <w:bookmarkStart w:id="6" w:name="P0099"/>
      <w:bookmarkEnd w:id="6"/>
      <w:r w:rsidRPr="00365397">
        <w:rPr>
          <w:sz w:val="28"/>
          <w:szCs w:val="28"/>
        </w:rPr>
        <w:t xml:space="preserve">е) порядок организации и обеспечения (осуществления) внутреннего контроля; </w:t>
      </w:r>
    </w:p>
    <w:p w14:paraId="76D6D250" w14:textId="77777777" w:rsidR="00365397" w:rsidRPr="00365397" w:rsidRDefault="00365397" w:rsidP="00365397">
      <w:pPr>
        <w:pStyle w:val="formattext"/>
        <w:spacing w:before="0" w:beforeAutospacing="0" w:after="0" w:afterAutospacing="0"/>
        <w:ind w:firstLine="482"/>
        <w:jc w:val="both"/>
        <w:rPr>
          <w:sz w:val="28"/>
          <w:szCs w:val="28"/>
        </w:rPr>
      </w:pPr>
      <w:bookmarkStart w:id="7" w:name="P009C"/>
      <w:bookmarkEnd w:id="7"/>
      <w:r w:rsidRPr="00365397">
        <w:rPr>
          <w:sz w:val="28"/>
          <w:szCs w:val="28"/>
        </w:rPr>
        <w:lastRenderedPageBreak/>
        <w:t xml:space="preserve">ж) порядок признания в бухгалтерском учете и раскрытия в бухгалтерской (финансовой) отчетности событий после отчетной даты; </w:t>
      </w:r>
    </w:p>
    <w:p w14:paraId="2A4F35E2" w14:textId="77777777" w:rsidR="00365397" w:rsidRPr="00365397" w:rsidRDefault="00365397" w:rsidP="00365397">
      <w:pPr>
        <w:pStyle w:val="formattext"/>
        <w:spacing w:before="0" w:beforeAutospacing="0" w:after="0" w:afterAutospacing="0"/>
        <w:ind w:firstLine="482"/>
        <w:jc w:val="both"/>
        <w:rPr>
          <w:sz w:val="28"/>
          <w:szCs w:val="28"/>
        </w:rPr>
      </w:pPr>
      <w:bookmarkStart w:id="8" w:name="P009F"/>
      <w:bookmarkEnd w:id="8"/>
      <w:r w:rsidRPr="00365397">
        <w:rPr>
          <w:sz w:val="28"/>
          <w:szCs w:val="28"/>
        </w:rPr>
        <w:t xml:space="preserve">з) иные способы ведения бухгалтерского учета, необходимые для организации ведения бухгалтерского учета и формирования бухгалтерской (финансовой) отчетности. </w:t>
      </w:r>
    </w:p>
    <w:p w14:paraId="3BD2EB74" w14:textId="77777777" w:rsidR="00365397" w:rsidRPr="00365397" w:rsidRDefault="00365397" w:rsidP="00365397">
      <w:pPr>
        <w:pStyle w:val="formattext"/>
        <w:spacing w:before="0" w:beforeAutospacing="0" w:after="0" w:afterAutospacing="0"/>
        <w:ind w:firstLine="482"/>
        <w:jc w:val="both"/>
        <w:rPr>
          <w:sz w:val="28"/>
          <w:szCs w:val="28"/>
        </w:rPr>
      </w:pPr>
      <w:r w:rsidRPr="00365397">
        <w:rPr>
          <w:sz w:val="28"/>
          <w:szCs w:val="28"/>
        </w:rPr>
        <w:t>Основные положения учетной политики и (или) копии документов учетной политики подлежат публичному раскрытию на официальном сайте в информационно-телекоммуникационной сети "Интернет".</w:t>
      </w:r>
    </w:p>
    <w:p w14:paraId="259F9E81" w14:textId="77777777" w:rsidR="00365397" w:rsidRPr="00365397" w:rsidRDefault="00365397" w:rsidP="00365397">
      <w:pPr>
        <w:pStyle w:val="formattext"/>
        <w:spacing w:before="0" w:beforeAutospacing="0" w:after="0" w:afterAutospacing="0"/>
        <w:ind w:firstLine="482"/>
        <w:jc w:val="both"/>
        <w:rPr>
          <w:sz w:val="28"/>
          <w:szCs w:val="28"/>
        </w:rPr>
      </w:pPr>
      <w:r w:rsidRPr="00365397">
        <w:rPr>
          <w:sz w:val="28"/>
          <w:szCs w:val="28"/>
        </w:rPr>
        <w:t xml:space="preserve"> </w:t>
      </w:r>
      <w:r w:rsidRPr="00365397">
        <w:rPr>
          <w:color w:val="000000"/>
          <w:sz w:val="28"/>
          <w:szCs w:val="28"/>
        </w:rPr>
        <w:t>Основание: пункт 9 Стандарта «Учётная политика, оценочные значения и ошибки».</w:t>
      </w:r>
    </w:p>
    <w:p w14:paraId="77907AC6" w14:textId="77777777" w:rsidR="00365397" w:rsidRPr="00365397" w:rsidRDefault="00365397" w:rsidP="00365397">
      <w:pPr>
        <w:pStyle w:val="ConsPlusNormal"/>
        <w:ind w:firstLine="482"/>
        <w:jc w:val="both"/>
        <w:rPr>
          <w:rFonts w:ascii="Times New Roman" w:hAnsi="Times New Roman" w:cs="Times New Roman"/>
          <w:color w:val="22272F"/>
          <w:sz w:val="28"/>
          <w:szCs w:val="28"/>
        </w:rPr>
      </w:pPr>
      <w:r w:rsidRPr="00365397">
        <w:rPr>
          <w:rFonts w:ascii="Times New Roman" w:hAnsi="Times New Roman" w:cs="Times New Roman"/>
          <w:sz w:val="28"/>
          <w:szCs w:val="28"/>
        </w:rPr>
        <w:t xml:space="preserve">2. </w:t>
      </w:r>
      <w:r w:rsidRPr="00365397">
        <w:rPr>
          <w:rFonts w:ascii="Times New Roman" w:hAnsi="Times New Roman" w:cs="Times New Roman"/>
          <w:color w:val="22272F"/>
          <w:sz w:val="28"/>
          <w:szCs w:val="28"/>
        </w:rPr>
        <w:t>Организация ведения бухгалтерского учета и хранения документов бухгалтерского учета осуществляется главой МО Лианозово - руководителем субъекта учета.</w:t>
      </w:r>
      <w:r w:rsidRPr="00365397">
        <w:rPr>
          <w:rFonts w:ascii="Times New Roman" w:hAnsi="Times New Roman" w:cs="Times New Roman"/>
          <w:sz w:val="28"/>
          <w:szCs w:val="28"/>
        </w:rPr>
        <w:t xml:space="preserve"> </w:t>
      </w:r>
    </w:p>
    <w:p w14:paraId="7CC2FBCE" w14:textId="77777777" w:rsidR="00365397" w:rsidRPr="00365397" w:rsidRDefault="00365397" w:rsidP="00365397">
      <w:pPr>
        <w:ind w:firstLine="708"/>
        <w:jc w:val="both"/>
        <w:rPr>
          <w:color w:val="000000"/>
          <w:sz w:val="28"/>
          <w:szCs w:val="28"/>
        </w:rPr>
      </w:pPr>
      <w:r w:rsidRPr="00365397">
        <w:rPr>
          <w:sz w:val="28"/>
          <w:szCs w:val="28"/>
        </w:rPr>
        <w:t>Основание: Стандарт: «</w:t>
      </w:r>
      <w:r w:rsidRPr="00365397">
        <w:rPr>
          <w:color w:val="000000"/>
          <w:sz w:val="28"/>
          <w:szCs w:val="28"/>
        </w:rPr>
        <w:t xml:space="preserve">Концептуальные основы бухучета и отчетности» </w:t>
      </w:r>
      <w:r w:rsidRPr="00365397">
        <w:rPr>
          <w:sz w:val="28"/>
          <w:szCs w:val="28"/>
        </w:rPr>
        <w:t xml:space="preserve">от 31.12.2016 №256н (с изм. от 13.09.203 № 143н), </w:t>
      </w:r>
      <w:r w:rsidRPr="00365397">
        <w:rPr>
          <w:color w:val="000000"/>
          <w:sz w:val="28"/>
          <w:szCs w:val="28"/>
        </w:rPr>
        <w:t>пункт 4 Инструкции к Единому плану счетов № 157н.</w:t>
      </w:r>
    </w:p>
    <w:p w14:paraId="5F431408" w14:textId="77777777" w:rsidR="00365397" w:rsidRPr="00365397" w:rsidRDefault="00365397" w:rsidP="00365397">
      <w:pPr>
        <w:pStyle w:val="a9"/>
        <w:jc w:val="both"/>
        <w:rPr>
          <w:rFonts w:ascii="Times New Roman" w:hAnsi="Times New Roman"/>
          <w:sz w:val="28"/>
          <w:szCs w:val="28"/>
        </w:rPr>
      </w:pPr>
      <w:r w:rsidRPr="00365397">
        <w:rPr>
          <w:rFonts w:ascii="Times New Roman" w:hAnsi="Times New Roman"/>
          <w:sz w:val="28"/>
          <w:szCs w:val="28"/>
        </w:rPr>
        <w:tab/>
        <w:t xml:space="preserve">           3.Бюджетный учет ведется в Департаменте финансов путем открытия лицевых счетов. При формировании платежных документов необходимо использовать:</w:t>
      </w:r>
    </w:p>
    <w:p w14:paraId="2B645D09" w14:textId="77777777" w:rsidR="00365397" w:rsidRPr="00365397" w:rsidRDefault="00365397" w:rsidP="00365397">
      <w:pPr>
        <w:pStyle w:val="a9"/>
        <w:jc w:val="both"/>
        <w:rPr>
          <w:rFonts w:ascii="Times New Roman" w:hAnsi="Times New Roman"/>
          <w:sz w:val="28"/>
          <w:szCs w:val="28"/>
        </w:rPr>
      </w:pPr>
      <w:r w:rsidRPr="00365397">
        <w:rPr>
          <w:rFonts w:ascii="Times New Roman" w:hAnsi="Times New Roman"/>
          <w:sz w:val="28"/>
          <w:szCs w:val="28"/>
        </w:rPr>
        <w:t xml:space="preserve">            - в качестве счета плательщика – соответствующий казначейский счёт, открытый в территориальном органе Федерального казначейства (далее ТОФК);</w:t>
      </w:r>
    </w:p>
    <w:p w14:paraId="4451EBD9" w14:textId="77777777" w:rsidR="00365397" w:rsidRPr="00365397" w:rsidRDefault="00365397" w:rsidP="00365397">
      <w:pPr>
        <w:pStyle w:val="a9"/>
        <w:jc w:val="both"/>
        <w:rPr>
          <w:rFonts w:ascii="Times New Roman" w:hAnsi="Times New Roman"/>
          <w:sz w:val="28"/>
          <w:szCs w:val="28"/>
        </w:rPr>
      </w:pPr>
      <w:r w:rsidRPr="00365397">
        <w:rPr>
          <w:rFonts w:ascii="Times New Roman" w:hAnsi="Times New Roman"/>
          <w:sz w:val="28"/>
          <w:szCs w:val="28"/>
        </w:rPr>
        <w:t xml:space="preserve">           - в качестве счета плательщика – банковский счёт, входящий в состав единого казначейского счёта, открытого ТОФК на балансовом счёте № 40102 «Единый казначейский счёт»;</w:t>
      </w:r>
    </w:p>
    <w:p w14:paraId="15D1CBE9"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Доходы учитываются на счетах, открытых в Управлении Федерального казначейства;</w:t>
      </w:r>
    </w:p>
    <w:p w14:paraId="2C886896"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4. В аппарате СД МО Лианозово действуют комиссии:</w:t>
      </w:r>
    </w:p>
    <w:p w14:paraId="08210C27"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 комиссия по поступлению и выбытию активов (устанавливается распоряжением аппарата СД МО Лианозово).</w:t>
      </w:r>
    </w:p>
    <w:p w14:paraId="76DBD67B"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w:t>
      </w:r>
    </w:p>
    <w:p w14:paraId="6AC0343A"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 xml:space="preserve">- постоянно действующая комиссия по проведению инвентаризации </w:t>
      </w:r>
      <w:r w:rsidRPr="00365397">
        <w:rPr>
          <w:rFonts w:ascii="Times New Roman" w:hAnsi="Times New Roman"/>
          <w:bCs/>
          <w:sz w:val="28"/>
          <w:szCs w:val="28"/>
        </w:rPr>
        <w:t>основных средств, материальных запасов и нематериальных активов</w:t>
      </w:r>
      <w:r w:rsidRPr="00365397">
        <w:rPr>
          <w:rFonts w:ascii="Times New Roman" w:hAnsi="Times New Roman"/>
          <w:b/>
          <w:sz w:val="28"/>
          <w:szCs w:val="28"/>
        </w:rPr>
        <w:t xml:space="preserve"> </w:t>
      </w:r>
      <w:r w:rsidRPr="00365397">
        <w:rPr>
          <w:rFonts w:ascii="Times New Roman" w:hAnsi="Times New Roman"/>
          <w:sz w:val="28"/>
          <w:szCs w:val="28"/>
        </w:rPr>
        <w:t>в аппарате СД МО Лианозово.</w:t>
      </w:r>
    </w:p>
    <w:p w14:paraId="6AA08589"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 xml:space="preserve">5. Перечень должностных лиц, которым в связи с производственной необходимостью разрешается пользоваться мобильной связью, а также суммы утвержденных лимитов указанных расходов приведены в </w:t>
      </w:r>
      <w:hyperlink w:anchor="P5168" w:history="1">
        <w:r w:rsidRPr="00365397">
          <w:rPr>
            <w:rFonts w:ascii="Times New Roman" w:hAnsi="Times New Roman"/>
            <w:b/>
            <w:bCs/>
            <w:sz w:val="28"/>
            <w:szCs w:val="28"/>
          </w:rPr>
          <w:t>Приложении 1</w:t>
        </w:r>
      </w:hyperlink>
      <w:r w:rsidRPr="00365397">
        <w:rPr>
          <w:rFonts w:ascii="Times New Roman" w:hAnsi="Times New Roman"/>
          <w:b/>
          <w:bCs/>
          <w:sz w:val="28"/>
          <w:szCs w:val="28"/>
        </w:rPr>
        <w:t xml:space="preserve"> </w:t>
      </w:r>
      <w:r w:rsidRPr="00365397">
        <w:rPr>
          <w:rFonts w:ascii="Times New Roman" w:hAnsi="Times New Roman"/>
          <w:sz w:val="28"/>
          <w:szCs w:val="28"/>
        </w:rPr>
        <w:t>к настоящей Учетной политике.</w:t>
      </w:r>
    </w:p>
    <w:p w14:paraId="2B2FCB43"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 xml:space="preserve">6. Бухгалтерская (бюджетная) отчетность составляется и представляется в соответствии с </w:t>
      </w:r>
      <w:hyperlink r:id="rId6" w:history="1">
        <w:r w:rsidRPr="00365397">
          <w:rPr>
            <w:rFonts w:ascii="Times New Roman" w:hAnsi="Times New Roman"/>
            <w:sz w:val="28"/>
            <w:szCs w:val="28"/>
          </w:rPr>
          <w:t>Приказом</w:t>
        </w:r>
      </w:hyperlink>
      <w:r w:rsidRPr="00365397">
        <w:rPr>
          <w:rFonts w:ascii="Times New Roman" w:hAnsi="Times New Roman"/>
          <w:sz w:val="28"/>
          <w:szCs w:val="28"/>
        </w:rPr>
        <w:t xml:space="preserve"> Министерства финансов Российской Федерации от 28.12.2010 N 191н с учетом нормативных актов и письменных разъяснений пользователей бухгалтерской (бюджетной) отчетности аппарата СД МО Лианозово.</w:t>
      </w:r>
    </w:p>
    <w:p w14:paraId="639591CB"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lastRenderedPageBreak/>
        <w:t>7. В случае обнаружения пропажи или уничтожения первичных документов в бухгалтерии или другом подразделении аппарата СД МО Лианозово сотрудникам учреждения следует незамедлительно сообщить об этом бухгалтеру-советнику аппарата СД МО Лианозово.</w:t>
      </w:r>
    </w:p>
    <w:p w14:paraId="7C070B62"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Сотрудник учреждения, бухгалтер-советник не позднее одного часа с момента обнаружения пропажи или уничтожения документов сообщают об этом главе МО Лианозово. Сообщение о происшествии с кратким изложением обстоятельств подтверждается в письменном виде в докладной записке в течение одного рабочего дня.</w:t>
      </w:r>
    </w:p>
    <w:p w14:paraId="354CAB5C" w14:textId="77777777" w:rsidR="00365397" w:rsidRPr="00365397" w:rsidRDefault="00365397" w:rsidP="00365397">
      <w:pPr>
        <w:pStyle w:val="a9"/>
        <w:ind w:firstLine="720"/>
        <w:jc w:val="both"/>
        <w:rPr>
          <w:rFonts w:ascii="Times New Roman" w:hAnsi="Times New Roman"/>
          <w:sz w:val="28"/>
          <w:szCs w:val="28"/>
        </w:rPr>
      </w:pPr>
      <w:r w:rsidRPr="00365397">
        <w:rPr>
          <w:rFonts w:ascii="Times New Roman" w:hAnsi="Times New Roman"/>
          <w:sz w:val="28"/>
          <w:szCs w:val="28"/>
        </w:rPr>
        <w:t>Выяснение причин такого происшествия осуществляется в соответствии с распоряжением главы МО Лианозово.</w:t>
      </w:r>
    </w:p>
    <w:p w14:paraId="3592D142" w14:textId="01355B37" w:rsidR="00FC6C56" w:rsidRDefault="00365397" w:rsidP="00FC6C56">
      <w:pPr>
        <w:pStyle w:val="ConsPlusNormal"/>
        <w:ind w:firstLine="708"/>
        <w:jc w:val="both"/>
        <w:outlineLvl w:val="1"/>
        <w:rPr>
          <w:rFonts w:ascii="Times New Roman" w:hAnsi="Times New Roman" w:cs="Times New Roman"/>
          <w:sz w:val="28"/>
          <w:szCs w:val="28"/>
        </w:rPr>
      </w:pPr>
      <w:r w:rsidRPr="00365397">
        <w:rPr>
          <w:rFonts w:ascii="Times New Roman" w:hAnsi="Times New Roman" w:cs="Times New Roman"/>
          <w:sz w:val="28"/>
          <w:szCs w:val="28"/>
        </w:rPr>
        <w:t>8.</w:t>
      </w:r>
      <w:r w:rsidRPr="00365397">
        <w:rPr>
          <w:rFonts w:ascii="Times New Roman" w:hAnsi="Times New Roman" w:cs="Times New Roman"/>
          <w:b/>
          <w:sz w:val="28"/>
          <w:szCs w:val="28"/>
        </w:rPr>
        <w:t xml:space="preserve"> </w:t>
      </w:r>
      <w:proofErr w:type="gramStart"/>
      <w:r w:rsidR="00FC6C56" w:rsidRPr="00B853E1">
        <w:rPr>
          <w:rFonts w:ascii="Times New Roman" w:hAnsi="Times New Roman" w:cs="Times New Roman"/>
          <w:sz w:val="28"/>
          <w:szCs w:val="28"/>
        </w:rPr>
        <w:t>В аппарате СД МО Лианозово в соответствии со ст. 81 Бюджетного кодекса РФ формируется резервный фонд</w:t>
      </w:r>
      <w:r w:rsidR="00FC6C56">
        <w:rPr>
          <w:rFonts w:ascii="Times New Roman" w:hAnsi="Times New Roman" w:cs="Times New Roman"/>
          <w:sz w:val="28"/>
          <w:szCs w:val="28"/>
        </w:rPr>
        <w:t>, с</w:t>
      </w:r>
      <w:r w:rsidR="00FC6C56" w:rsidRPr="00B853E1">
        <w:rPr>
          <w:rFonts w:ascii="Times New Roman" w:hAnsi="Times New Roman" w:cs="Times New Roman"/>
          <w:sz w:val="28"/>
          <w:szCs w:val="28"/>
        </w:rPr>
        <w:t xml:space="preserve">редства </w:t>
      </w:r>
      <w:r w:rsidR="00FC6C56">
        <w:rPr>
          <w:rFonts w:ascii="Times New Roman" w:hAnsi="Times New Roman" w:cs="Times New Roman"/>
          <w:sz w:val="28"/>
          <w:szCs w:val="28"/>
        </w:rPr>
        <w:t>которого</w:t>
      </w:r>
      <w:r w:rsidR="00FC6C56" w:rsidRPr="00B853E1">
        <w:rPr>
          <w:rFonts w:ascii="Times New Roman" w:hAnsi="Times New Roman" w:cs="Times New Roman"/>
          <w:sz w:val="28"/>
          <w:szCs w:val="28"/>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w:t>
      </w:r>
      <w:r w:rsidR="00FC6C56">
        <w:rPr>
          <w:rFonts w:ascii="Times New Roman" w:hAnsi="Times New Roman" w:cs="Times New Roman"/>
          <w:sz w:val="28"/>
          <w:szCs w:val="28"/>
        </w:rPr>
        <w:t xml:space="preserve">становленным аппаратом СД МО Лианозово. </w:t>
      </w:r>
      <w:proofErr w:type="gramEnd"/>
    </w:p>
    <w:p w14:paraId="5C7294DC" w14:textId="77777777" w:rsidR="00FC6C56" w:rsidRDefault="00FC6C56" w:rsidP="00FC6C56">
      <w:pPr>
        <w:pStyle w:val="ConsPlusNormal"/>
        <w:ind w:firstLine="708"/>
        <w:jc w:val="both"/>
        <w:outlineLvl w:val="1"/>
        <w:rPr>
          <w:rFonts w:ascii="Times New Roman" w:hAnsi="Times New Roman" w:cs="Times New Roman"/>
          <w:sz w:val="28"/>
          <w:szCs w:val="28"/>
        </w:rPr>
      </w:pPr>
      <w:r>
        <w:rPr>
          <w:rFonts w:ascii="Times New Roman" w:hAnsi="Times New Roman" w:cs="Times New Roman"/>
          <w:sz w:val="28"/>
          <w:szCs w:val="28"/>
        </w:rPr>
        <w:t xml:space="preserve">Порядок использования бюджетных ассигнований резервного фонда аппарата СД МО Лианозово установлен постановлением аппарата СД МО Лианозово от 11.04.2023 № 09-ПА. </w:t>
      </w:r>
    </w:p>
    <w:p w14:paraId="5956AC88" w14:textId="76F900E7" w:rsidR="00365397" w:rsidRPr="00365397" w:rsidRDefault="00FC6C56" w:rsidP="00FC6C56">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 В аппарате СД МО Лианозово формируется резерв предстоящих расходов в порядке, установленном Приложением 2 к Учетной политике аппарата СД МО Лианозово для целей бухгалтерского (бюджетного) учета</w:t>
      </w:r>
      <w:r>
        <w:rPr>
          <w:rFonts w:ascii="Times New Roman" w:hAnsi="Times New Roman" w:cs="Times New Roman"/>
          <w:sz w:val="28"/>
          <w:szCs w:val="28"/>
        </w:rPr>
        <w:t>.</w:t>
      </w:r>
    </w:p>
    <w:p w14:paraId="6D25BB84" w14:textId="77777777" w:rsidR="00365397" w:rsidRPr="00365397" w:rsidRDefault="00365397" w:rsidP="00365397">
      <w:pPr>
        <w:ind w:firstLine="708"/>
        <w:jc w:val="both"/>
        <w:rPr>
          <w:color w:val="000000"/>
          <w:sz w:val="28"/>
          <w:szCs w:val="28"/>
        </w:rPr>
      </w:pPr>
      <w:r w:rsidRPr="00365397">
        <w:rPr>
          <w:sz w:val="28"/>
          <w:szCs w:val="28"/>
        </w:rPr>
        <w:t xml:space="preserve">9. </w:t>
      </w:r>
      <w:r w:rsidRPr="00365397">
        <w:rPr>
          <w:color w:val="000000"/>
          <w:sz w:val="28"/>
          <w:szCs w:val="28"/>
        </w:rPr>
        <w:t>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w:t>
      </w:r>
      <w:bookmarkStart w:id="9" w:name="_GoBack"/>
      <w:bookmarkEnd w:id="9"/>
      <w:r w:rsidRPr="00365397">
        <w:rPr>
          <w:color w:val="000000"/>
          <w:sz w:val="28"/>
          <w:szCs w:val="28"/>
        </w:rPr>
        <w:t>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65397">
        <w:rPr>
          <w:sz w:val="28"/>
          <w:szCs w:val="28"/>
        </w:rPr>
        <w:br/>
      </w:r>
      <w:r w:rsidRPr="00365397">
        <w:rPr>
          <w:color w:val="000000"/>
          <w:sz w:val="28"/>
          <w:szCs w:val="28"/>
        </w:rPr>
        <w:t xml:space="preserve"> Пояснениях к отчетности информации о существенных ошибках.</w:t>
      </w:r>
    </w:p>
    <w:p w14:paraId="5B979630" w14:textId="77777777" w:rsidR="00365397" w:rsidRPr="00365397" w:rsidRDefault="00365397" w:rsidP="00365397">
      <w:pPr>
        <w:jc w:val="both"/>
        <w:rPr>
          <w:color w:val="000000"/>
          <w:sz w:val="28"/>
          <w:szCs w:val="28"/>
        </w:rPr>
      </w:pPr>
      <w:r w:rsidRPr="00365397">
        <w:rPr>
          <w:color w:val="000000"/>
          <w:sz w:val="28"/>
          <w:szCs w:val="28"/>
        </w:rPr>
        <w:t>Основание: пункты 17, 20, 32 СГС «Учетная политика, оценочные значения и ошибки».</w:t>
      </w:r>
    </w:p>
    <w:p w14:paraId="6169842E" w14:textId="77777777" w:rsidR="00365397" w:rsidRPr="00365397" w:rsidRDefault="00365397" w:rsidP="00365397">
      <w:pPr>
        <w:pStyle w:val="ConsPlusNormal"/>
        <w:ind w:firstLine="720"/>
        <w:jc w:val="both"/>
        <w:rPr>
          <w:rFonts w:ascii="Times New Roman" w:hAnsi="Times New Roman" w:cs="Times New Roman"/>
          <w:sz w:val="28"/>
          <w:szCs w:val="28"/>
        </w:rPr>
      </w:pPr>
    </w:p>
    <w:p w14:paraId="2800C343" w14:textId="77777777" w:rsidR="00365397" w:rsidRPr="00365397" w:rsidRDefault="00365397" w:rsidP="00365397">
      <w:pPr>
        <w:pStyle w:val="ConsPlusNormal"/>
        <w:ind w:firstLine="720"/>
        <w:jc w:val="both"/>
        <w:rPr>
          <w:rFonts w:ascii="Times New Roman" w:hAnsi="Times New Roman" w:cs="Times New Roman"/>
          <w:sz w:val="28"/>
          <w:szCs w:val="28"/>
        </w:rPr>
      </w:pPr>
    </w:p>
    <w:p w14:paraId="18940C3E" w14:textId="77777777" w:rsidR="006A7BC1" w:rsidRPr="00365397" w:rsidRDefault="006A7BC1">
      <w:pPr>
        <w:rPr>
          <w:sz w:val="28"/>
          <w:szCs w:val="28"/>
        </w:rPr>
      </w:pPr>
    </w:p>
    <w:sectPr w:rsidR="006A7BC1" w:rsidRPr="0036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319"/>
    <w:rsid w:val="000F37A6"/>
    <w:rsid w:val="00365397"/>
    <w:rsid w:val="006A7BC1"/>
    <w:rsid w:val="00750199"/>
    <w:rsid w:val="00A64319"/>
    <w:rsid w:val="00F020E7"/>
    <w:rsid w:val="00FC6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97"/>
    <w:rPr>
      <w:sz w:val="24"/>
      <w:szCs w:val="24"/>
      <w:lang w:eastAsia="ru-RU"/>
    </w:rPr>
  </w:style>
  <w:style w:type="paragraph" w:styleId="1">
    <w:name w:val="heading 1"/>
    <w:basedOn w:val="a"/>
    <w:next w:val="a"/>
    <w:link w:val="10"/>
    <w:qFormat/>
    <w:rsid w:val="007501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0199"/>
    <w:pPr>
      <w:keepNext/>
      <w:spacing w:before="240" w:after="60"/>
      <w:outlineLvl w:val="1"/>
    </w:pPr>
    <w:rPr>
      <w:rFonts w:ascii="Arial" w:hAnsi="Arial"/>
      <w:b/>
      <w:bCs/>
      <w:i/>
      <w:iCs/>
      <w:sz w:val="28"/>
      <w:szCs w:val="28"/>
    </w:rPr>
  </w:style>
  <w:style w:type="paragraph" w:styleId="9">
    <w:name w:val="heading 9"/>
    <w:basedOn w:val="a"/>
    <w:next w:val="a"/>
    <w:link w:val="90"/>
    <w:qFormat/>
    <w:rsid w:val="00750199"/>
    <w:pPr>
      <w:keepNext/>
      <w:widowControl w:val="0"/>
      <w:autoSpaceDE w:val="0"/>
      <w:autoSpaceDN w:val="0"/>
      <w:adjustRightInd w:val="0"/>
      <w:jc w:val="center"/>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199"/>
    <w:rPr>
      <w:rFonts w:ascii="Arial" w:hAnsi="Arial" w:cs="Arial"/>
      <w:b/>
      <w:bCs/>
      <w:kern w:val="32"/>
      <w:sz w:val="32"/>
      <w:szCs w:val="32"/>
      <w:lang w:eastAsia="ru-RU"/>
    </w:rPr>
  </w:style>
  <w:style w:type="character" w:customStyle="1" w:styleId="20">
    <w:name w:val="Заголовок 2 Знак"/>
    <w:basedOn w:val="a0"/>
    <w:link w:val="2"/>
    <w:rsid w:val="00750199"/>
    <w:rPr>
      <w:rFonts w:ascii="Arial" w:hAnsi="Arial"/>
      <w:b/>
      <w:bCs/>
      <w:i/>
      <w:iCs/>
      <w:sz w:val="28"/>
      <w:szCs w:val="28"/>
      <w:lang w:eastAsia="ru-RU"/>
    </w:rPr>
  </w:style>
  <w:style w:type="character" w:customStyle="1" w:styleId="90">
    <w:name w:val="Заголовок 9 Знак"/>
    <w:basedOn w:val="a0"/>
    <w:link w:val="9"/>
    <w:rsid w:val="00750199"/>
    <w:rPr>
      <w:b/>
      <w:bCs/>
      <w:sz w:val="36"/>
      <w:szCs w:val="36"/>
      <w:lang w:eastAsia="ru-RU"/>
    </w:rPr>
  </w:style>
  <w:style w:type="paragraph" w:styleId="a3">
    <w:name w:val="Title"/>
    <w:basedOn w:val="a"/>
    <w:link w:val="a4"/>
    <w:qFormat/>
    <w:rsid w:val="00750199"/>
    <w:pPr>
      <w:jc w:val="center"/>
    </w:pPr>
    <w:rPr>
      <w:sz w:val="28"/>
      <w:szCs w:val="20"/>
    </w:rPr>
  </w:style>
  <w:style w:type="character" w:customStyle="1" w:styleId="a4">
    <w:name w:val="Название Знак"/>
    <w:basedOn w:val="a0"/>
    <w:link w:val="a3"/>
    <w:rsid w:val="00750199"/>
    <w:rPr>
      <w:sz w:val="28"/>
      <w:lang w:eastAsia="ru-RU"/>
    </w:rPr>
  </w:style>
  <w:style w:type="paragraph" w:styleId="a5">
    <w:name w:val="Subtitle"/>
    <w:basedOn w:val="a"/>
    <w:link w:val="a6"/>
    <w:qFormat/>
    <w:rsid w:val="00750199"/>
    <w:pPr>
      <w:spacing w:line="360" w:lineRule="auto"/>
      <w:jc w:val="center"/>
    </w:pPr>
    <w:rPr>
      <w:b/>
      <w:sz w:val="28"/>
      <w:szCs w:val="20"/>
    </w:rPr>
  </w:style>
  <w:style w:type="character" w:customStyle="1" w:styleId="a6">
    <w:name w:val="Подзаголовок Знак"/>
    <w:link w:val="a5"/>
    <w:rsid w:val="00750199"/>
    <w:rPr>
      <w:b/>
      <w:sz w:val="28"/>
      <w:lang w:eastAsia="ru-RU"/>
    </w:rPr>
  </w:style>
  <w:style w:type="character" w:styleId="a7">
    <w:name w:val="Strong"/>
    <w:qFormat/>
    <w:rsid w:val="00750199"/>
    <w:rPr>
      <w:b/>
      <w:bCs/>
    </w:rPr>
  </w:style>
  <w:style w:type="paragraph" w:styleId="a8">
    <w:name w:val="List Paragraph"/>
    <w:basedOn w:val="a"/>
    <w:qFormat/>
    <w:rsid w:val="00750199"/>
    <w:pPr>
      <w:suppressAutoHyphens/>
      <w:spacing w:after="200" w:line="276" w:lineRule="auto"/>
      <w:ind w:left="720"/>
    </w:pPr>
    <w:rPr>
      <w:rFonts w:ascii="Calibri" w:eastAsia="Calibri" w:hAnsi="Calibri" w:cs="Calibri"/>
      <w:sz w:val="22"/>
      <w:szCs w:val="22"/>
      <w:lang w:eastAsia="ar-SA"/>
    </w:rPr>
  </w:style>
  <w:style w:type="paragraph" w:customStyle="1" w:styleId="ConsPlusNormal">
    <w:name w:val="ConsPlusNormal"/>
    <w:uiPriority w:val="99"/>
    <w:rsid w:val="00365397"/>
    <w:pPr>
      <w:widowControl w:val="0"/>
      <w:autoSpaceDE w:val="0"/>
      <w:autoSpaceDN w:val="0"/>
    </w:pPr>
    <w:rPr>
      <w:rFonts w:ascii="Calibri" w:hAnsi="Calibri" w:cs="Calibri"/>
      <w:sz w:val="22"/>
      <w:lang w:eastAsia="ru-RU"/>
    </w:rPr>
  </w:style>
  <w:style w:type="paragraph" w:styleId="a9">
    <w:name w:val="header"/>
    <w:basedOn w:val="a"/>
    <w:link w:val="aa"/>
    <w:uiPriority w:val="99"/>
    <w:rsid w:val="00365397"/>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365397"/>
    <w:rPr>
      <w:rFonts w:ascii="Calibri" w:hAnsi="Calibri"/>
      <w:sz w:val="22"/>
      <w:szCs w:val="22"/>
    </w:rPr>
  </w:style>
  <w:style w:type="paragraph" w:customStyle="1" w:styleId="formattext">
    <w:name w:val="formattext"/>
    <w:basedOn w:val="a"/>
    <w:uiPriority w:val="99"/>
    <w:rsid w:val="00365397"/>
    <w:pPr>
      <w:spacing w:before="100" w:beforeAutospacing="1" w:after="100" w:afterAutospacing="1"/>
    </w:pPr>
  </w:style>
  <w:style w:type="character" w:styleId="ab">
    <w:name w:val="Hyperlink"/>
    <w:basedOn w:val="a0"/>
    <w:uiPriority w:val="99"/>
    <w:semiHidden/>
    <w:rsid w:val="0036539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397"/>
    <w:rPr>
      <w:sz w:val="24"/>
      <w:szCs w:val="24"/>
      <w:lang w:eastAsia="ru-RU"/>
    </w:rPr>
  </w:style>
  <w:style w:type="paragraph" w:styleId="1">
    <w:name w:val="heading 1"/>
    <w:basedOn w:val="a"/>
    <w:next w:val="a"/>
    <w:link w:val="10"/>
    <w:qFormat/>
    <w:rsid w:val="0075019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50199"/>
    <w:pPr>
      <w:keepNext/>
      <w:spacing w:before="240" w:after="60"/>
      <w:outlineLvl w:val="1"/>
    </w:pPr>
    <w:rPr>
      <w:rFonts w:ascii="Arial" w:hAnsi="Arial"/>
      <w:b/>
      <w:bCs/>
      <w:i/>
      <w:iCs/>
      <w:sz w:val="28"/>
      <w:szCs w:val="28"/>
    </w:rPr>
  </w:style>
  <w:style w:type="paragraph" w:styleId="9">
    <w:name w:val="heading 9"/>
    <w:basedOn w:val="a"/>
    <w:next w:val="a"/>
    <w:link w:val="90"/>
    <w:qFormat/>
    <w:rsid w:val="00750199"/>
    <w:pPr>
      <w:keepNext/>
      <w:widowControl w:val="0"/>
      <w:autoSpaceDE w:val="0"/>
      <w:autoSpaceDN w:val="0"/>
      <w:adjustRightInd w:val="0"/>
      <w:jc w:val="center"/>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0199"/>
    <w:rPr>
      <w:rFonts w:ascii="Arial" w:hAnsi="Arial" w:cs="Arial"/>
      <w:b/>
      <w:bCs/>
      <w:kern w:val="32"/>
      <w:sz w:val="32"/>
      <w:szCs w:val="32"/>
      <w:lang w:eastAsia="ru-RU"/>
    </w:rPr>
  </w:style>
  <w:style w:type="character" w:customStyle="1" w:styleId="20">
    <w:name w:val="Заголовок 2 Знак"/>
    <w:basedOn w:val="a0"/>
    <w:link w:val="2"/>
    <w:rsid w:val="00750199"/>
    <w:rPr>
      <w:rFonts w:ascii="Arial" w:hAnsi="Arial"/>
      <w:b/>
      <w:bCs/>
      <w:i/>
      <w:iCs/>
      <w:sz w:val="28"/>
      <w:szCs w:val="28"/>
      <w:lang w:eastAsia="ru-RU"/>
    </w:rPr>
  </w:style>
  <w:style w:type="character" w:customStyle="1" w:styleId="90">
    <w:name w:val="Заголовок 9 Знак"/>
    <w:basedOn w:val="a0"/>
    <w:link w:val="9"/>
    <w:rsid w:val="00750199"/>
    <w:rPr>
      <w:b/>
      <w:bCs/>
      <w:sz w:val="36"/>
      <w:szCs w:val="36"/>
      <w:lang w:eastAsia="ru-RU"/>
    </w:rPr>
  </w:style>
  <w:style w:type="paragraph" w:styleId="a3">
    <w:name w:val="Title"/>
    <w:basedOn w:val="a"/>
    <w:link w:val="a4"/>
    <w:qFormat/>
    <w:rsid w:val="00750199"/>
    <w:pPr>
      <w:jc w:val="center"/>
    </w:pPr>
    <w:rPr>
      <w:sz w:val="28"/>
      <w:szCs w:val="20"/>
    </w:rPr>
  </w:style>
  <w:style w:type="character" w:customStyle="1" w:styleId="a4">
    <w:name w:val="Название Знак"/>
    <w:basedOn w:val="a0"/>
    <w:link w:val="a3"/>
    <w:rsid w:val="00750199"/>
    <w:rPr>
      <w:sz w:val="28"/>
      <w:lang w:eastAsia="ru-RU"/>
    </w:rPr>
  </w:style>
  <w:style w:type="paragraph" w:styleId="a5">
    <w:name w:val="Subtitle"/>
    <w:basedOn w:val="a"/>
    <w:link w:val="a6"/>
    <w:qFormat/>
    <w:rsid w:val="00750199"/>
    <w:pPr>
      <w:spacing w:line="360" w:lineRule="auto"/>
      <w:jc w:val="center"/>
    </w:pPr>
    <w:rPr>
      <w:b/>
      <w:sz w:val="28"/>
      <w:szCs w:val="20"/>
    </w:rPr>
  </w:style>
  <w:style w:type="character" w:customStyle="1" w:styleId="a6">
    <w:name w:val="Подзаголовок Знак"/>
    <w:link w:val="a5"/>
    <w:rsid w:val="00750199"/>
    <w:rPr>
      <w:b/>
      <w:sz w:val="28"/>
      <w:lang w:eastAsia="ru-RU"/>
    </w:rPr>
  </w:style>
  <w:style w:type="character" w:styleId="a7">
    <w:name w:val="Strong"/>
    <w:qFormat/>
    <w:rsid w:val="00750199"/>
    <w:rPr>
      <w:b/>
      <w:bCs/>
    </w:rPr>
  </w:style>
  <w:style w:type="paragraph" w:styleId="a8">
    <w:name w:val="List Paragraph"/>
    <w:basedOn w:val="a"/>
    <w:qFormat/>
    <w:rsid w:val="00750199"/>
    <w:pPr>
      <w:suppressAutoHyphens/>
      <w:spacing w:after="200" w:line="276" w:lineRule="auto"/>
      <w:ind w:left="720"/>
    </w:pPr>
    <w:rPr>
      <w:rFonts w:ascii="Calibri" w:eastAsia="Calibri" w:hAnsi="Calibri" w:cs="Calibri"/>
      <w:sz w:val="22"/>
      <w:szCs w:val="22"/>
      <w:lang w:eastAsia="ar-SA"/>
    </w:rPr>
  </w:style>
  <w:style w:type="paragraph" w:customStyle="1" w:styleId="ConsPlusNormal">
    <w:name w:val="ConsPlusNormal"/>
    <w:uiPriority w:val="99"/>
    <w:rsid w:val="00365397"/>
    <w:pPr>
      <w:widowControl w:val="0"/>
      <w:autoSpaceDE w:val="0"/>
      <w:autoSpaceDN w:val="0"/>
    </w:pPr>
    <w:rPr>
      <w:rFonts w:ascii="Calibri" w:hAnsi="Calibri" w:cs="Calibri"/>
      <w:sz w:val="22"/>
      <w:lang w:eastAsia="ru-RU"/>
    </w:rPr>
  </w:style>
  <w:style w:type="paragraph" w:styleId="a9">
    <w:name w:val="header"/>
    <w:basedOn w:val="a"/>
    <w:link w:val="aa"/>
    <w:uiPriority w:val="99"/>
    <w:rsid w:val="00365397"/>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uiPriority w:val="99"/>
    <w:rsid w:val="00365397"/>
    <w:rPr>
      <w:rFonts w:ascii="Calibri" w:hAnsi="Calibri"/>
      <w:sz w:val="22"/>
      <w:szCs w:val="22"/>
    </w:rPr>
  </w:style>
  <w:style w:type="paragraph" w:customStyle="1" w:styleId="formattext">
    <w:name w:val="formattext"/>
    <w:basedOn w:val="a"/>
    <w:uiPriority w:val="99"/>
    <w:rsid w:val="00365397"/>
    <w:pPr>
      <w:spacing w:before="100" w:beforeAutospacing="1" w:after="100" w:afterAutospacing="1"/>
    </w:pPr>
  </w:style>
  <w:style w:type="character" w:styleId="ab">
    <w:name w:val="Hyperlink"/>
    <w:basedOn w:val="a0"/>
    <w:uiPriority w:val="99"/>
    <w:semiHidden/>
    <w:rsid w:val="003653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F6345D4FCAA6A0AE75F8D7CFB434CF6EDDC4F15025D96EAC9DA1843DCk9a0H" TargetMode="External"/><Relationship Id="rId5" Type="http://schemas.openxmlformats.org/officeDocument/2006/relationships/hyperlink" Target="kodeks://link/d?nd=420388973&amp;prevdoc=542618106&amp;point=mark=000000000000000000000000000000000000000000000000008P80L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Tatyana</cp:lastModifiedBy>
  <cp:revision>3</cp:revision>
  <dcterms:created xsi:type="dcterms:W3CDTF">2024-10-04T08:43:00Z</dcterms:created>
  <dcterms:modified xsi:type="dcterms:W3CDTF">2024-10-04T08:46:00Z</dcterms:modified>
</cp:coreProperties>
</file>